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center"/>
      </w:pPr>
      <w:r>
        <w:rPr>
          <w:rFonts w:ascii="Arial" w:cs="Arial" w:eastAsia="Arial" w:hAnsi="Arial"/>
          <w:b/>
          <w:bCs/>
          <w:color w:val="2E8B8B"/>
          <w:sz w:val="40"/>
          <w:szCs w:val="40"/>
        </w:rPr>
        <w:t xml:space="preserve">WILDFLOWER ACADEMY</w:t>
      </w:r>
    </w:p>
    <w:p>
      <w:pPr>
        <w:spacing w:after="60" w:before="0"/>
        <w:jc w:val="center"/>
      </w:pPr>
      <w:r>
        <w:rPr>
          <w:rFonts w:ascii="Arial" w:cs="Arial" w:eastAsia="Arial" w:hAnsi="Arial"/>
          <w:color w:val="1A1A2E"/>
          <w:sz w:val="28"/>
          <w:szCs w:val="28"/>
        </w:rPr>
        <w:t xml:space="preserve">Parent &amp; Family Handbook</w:t>
      </w:r>
    </w:p>
    <w:p>
      <w:pPr>
        <w:spacing w:after="320" w:before="0"/>
        <w:jc w:val="center"/>
      </w:pPr>
      <w:r>
        <w:rPr>
          <w:rFonts w:ascii="Arial" w:cs="Arial" w:eastAsia="Arial" w:hAnsi="Arial"/>
          <w:i/>
          <w:iCs/>
          <w:color w:val="666666"/>
          <w:sz w:val="22"/>
          <w:szCs w:val="22"/>
        </w:rPr>
        <w:t xml:space="preserve">Attendance, Program Administration &amp; Academic Policies</w:t>
      </w:r>
    </w:p>
    <w:p>
      <w:pPr>
        <w:pStyle w:val="Heading1"/>
        <w:pBdr>
          <w:bottom w:val="single" w:color="2E8B8B" w:sz="8" w:space="6"/>
        </w:pBdr>
        <w:spacing w:after="160" w:before="360"/>
      </w:pPr>
      <w:r>
        <w:rPr>
          <w:rFonts w:ascii="Arial" w:cs="Arial" w:eastAsia="Arial" w:hAnsi="Arial"/>
          <w:b/>
          <w:bCs/>
          <w:color w:val="2E8B8B"/>
          <w:sz w:val="28"/>
          <w:szCs w:val="28"/>
        </w:rPr>
        <w:t xml:space="preserve">SECTION 1: ATTENDANCE POLICY</w:t>
      </w:r>
    </w:p>
    <w:p>
      <w:pPr>
        <w:spacing w:after="80" w:before="60"/>
      </w:pPr>
      <w:r>
        <w:rPr>
          <w:rFonts w:ascii="Arial" w:cs="Arial" w:eastAsia="Arial" w:hAnsi="Arial"/>
          <w:color w:val="1A1A2E"/>
          <w:sz w:val="22"/>
          <w:szCs w:val="22"/>
        </w:rPr>
        <w:t xml:space="preserve">At Wildflower Academy, we recognize that consistent attendance is essential to each student’s growth, routine, and therapeutic progress. We also deeply understand that families of children with special needs face unique and unpredictable challenges. Our attendance policy is designed to support structure while honoring the reality of our students’ needs.</w:t>
      </w:r>
    </w:p>
    <w:p>
      <w:pPr>
        <w:spacing w:after="0" w:before="160"/>
      </w:pPr>
    </w:p>
    <w:p>
      <w:pPr>
        <w:pStyle w:val="Heading2"/>
        <w:spacing w:after="120" w:before="280"/>
      </w:pPr>
      <w:r>
        <w:rPr>
          <w:rFonts w:ascii="Arial" w:cs="Arial" w:eastAsia="Arial" w:hAnsi="Arial"/>
          <w:b/>
          <w:bCs/>
          <w:color w:val="1A1A2E"/>
          <w:sz w:val="24"/>
          <w:szCs w:val="24"/>
        </w:rPr>
        <w:t xml:space="preserve">1.1 Compulsory Attendance</w:t>
      </w:r>
    </w:p>
    <w:p>
      <w:pPr>
        <w:spacing w:after="80" w:before="60"/>
      </w:pPr>
      <w:r>
        <w:rPr>
          <w:rFonts w:ascii="Arial" w:cs="Arial" w:eastAsia="Arial" w:hAnsi="Arial"/>
          <w:color w:val="1A1A2E"/>
          <w:sz w:val="22"/>
          <w:szCs w:val="22"/>
        </w:rPr>
        <w:t xml:space="preserve">Wildflower Academy follows Florida’s compulsory attendance guidelines under Florida Statute §1003.21. Regular attendance is expected of all enrolled students throughout the school year calendar.</w:t>
      </w:r>
    </w:p>
    <w:p>
      <w:pPr>
        <w:spacing w:after="0" w:before="100"/>
      </w:pPr>
    </w:p>
    <w:p>
      <w:pPr>
        <w:pStyle w:val="Heading2"/>
        <w:spacing w:after="120" w:before="280"/>
      </w:pPr>
      <w:r>
        <w:rPr>
          <w:rFonts w:ascii="Arial" w:cs="Arial" w:eastAsia="Arial" w:hAnsi="Arial"/>
          <w:b/>
          <w:bCs/>
          <w:color w:val="1A1A2E"/>
          <w:sz w:val="24"/>
          <w:szCs w:val="24"/>
        </w:rPr>
        <w:t xml:space="preserve">1.2 Absences — Definitions</w:t>
      </w:r>
    </w:p>
    <w:p>
      <w:pPr>
        <w:spacing w:after="80" w:before="60"/>
      </w:pPr>
      <w:r>
        <w:rPr>
          <w:rFonts w:ascii="Arial" w:cs="Arial" w:eastAsia="Arial" w:hAnsi="Arial"/>
          <w:b/>
          <w:bCs/>
          <w:color w:val="1A1A2E"/>
          <w:sz w:val="22"/>
          <w:szCs w:val="22"/>
        </w:rPr>
        <w:t xml:space="preserve">Excused Absences </w:t>
      </w:r>
      <w:r>
        <w:rPr>
          <w:rFonts w:ascii="Arial" w:cs="Arial" w:eastAsia="Arial" w:hAnsi="Arial"/>
          <w:color w:val="1A1A2E"/>
          <w:sz w:val="22"/>
          <w:szCs w:val="22"/>
        </w:rPr>
        <w:t xml:space="preserve">include illness (with or without a physician’s note for the first three occurrences), medical or therapeutic appointments, family emergencies, religious observances, or other circumstances approved in advance by the administration.</w:t>
      </w:r>
    </w:p>
    <w:p>
      <w:pPr>
        <w:spacing w:after="0" w:before="40"/>
      </w:pPr>
    </w:p>
    <w:p>
      <w:pPr>
        <w:spacing w:after="80" w:before="60"/>
      </w:pPr>
      <w:r>
        <w:rPr>
          <w:rFonts w:ascii="Arial" w:cs="Arial" w:eastAsia="Arial" w:hAnsi="Arial"/>
          <w:b/>
          <w:bCs/>
          <w:color w:val="1A1A2E"/>
          <w:sz w:val="22"/>
          <w:szCs w:val="22"/>
        </w:rPr>
        <w:t xml:space="preserve">Unexcused Absences </w:t>
      </w:r>
      <w:r>
        <w:rPr>
          <w:rFonts w:ascii="Arial" w:cs="Arial" w:eastAsia="Arial" w:hAnsi="Arial"/>
          <w:color w:val="1A1A2E"/>
          <w:sz w:val="22"/>
          <w:szCs w:val="22"/>
        </w:rPr>
        <w:t xml:space="preserve">are absences for which no communication has been received from the parent or guardian within 48 hours of the absence.</w:t>
      </w:r>
    </w:p>
    <w:p>
      <w:pPr>
        <w:spacing w:after="0" w:before="100"/>
      </w:pPr>
    </w:p>
    <w:p>
      <w:pPr>
        <w:pStyle w:val="Heading2"/>
        <w:spacing w:after="120" w:before="280"/>
      </w:pPr>
      <w:r>
        <w:rPr>
          <w:rFonts w:ascii="Arial" w:cs="Arial" w:eastAsia="Arial" w:hAnsi="Arial"/>
          <w:b/>
          <w:bCs/>
          <w:color w:val="1A1A2E"/>
          <w:sz w:val="24"/>
          <w:szCs w:val="24"/>
        </w:rPr>
        <w:t xml:space="preserve">1.3 Absence Thresholds &amp; Intervention</w:t>
      </w:r>
    </w:p>
    <w:p>
      <w:pPr>
        <w:spacing w:after="80" w:before="60"/>
      </w:pPr>
      <w:r>
        <w:rPr>
          <w:rFonts w:ascii="Arial" w:cs="Arial" w:eastAsia="Arial" w:hAnsi="Arial"/>
          <w:color w:val="1A1A2E"/>
          <w:sz w:val="22"/>
          <w:szCs w:val="22"/>
        </w:rPr>
        <w:t xml:space="preserve">Wildflower Academy uses a tiered, supportive approach to absences:</w:t>
      </w:r>
    </w:p>
    <w:p>
      <w:pPr>
        <w:spacing w:after="0"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E8F5F5" w:val="clear"/>
            <w:tcMar>
              <w:top w:type="dxa" w:w="120"/>
              <w:left w:type="dxa" w:w="200"/>
              <w:bottom w:type="dxa" w:w="120"/>
              <w:right w:type="dxa" w:w="200"/>
            </w:tcMar>
          </w:tcPr>
          <w:p>
            <w:pPr>
              <w:spacing w:after="80" w:before="60"/>
            </w:pPr>
            <w:r>
              <w:rPr>
                <w:rFonts w:ascii="Arial" w:cs="Arial" w:eastAsia="Arial" w:hAnsi="Arial"/>
                <w:b/>
                <w:bCs/>
                <w:color w:val="2E8B8B"/>
                <w:sz w:val="22"/>
                <w:szCs w:val="22"/>
              </w:rPr>
              <w:t xml:space="preserve">Attendance Intervention Ladder</w:t>
            </w:r>
          </w:p>
          <w:p>
            <w:pPr>
              <w:spacing w:after="40" w:before="40"/>
            </w:pPr>
            <w:r>
              <w:rPr>
                <w:rFonts w:ascii="Arial" w:cs="Arial" w:eastAsia="Arial" w:hAnsi="Arial"/>
                <w:color w:val="1A1A2E"/>
                <w:sz w:val="21"/>
                <w:szCs w:val="21"/>
              </w:rPr>
              <w:t xml:space="preserve">5 Absences (Excused or Unexcused) — Parent notification letter issued; attendance support meeting offered.</w:t>
            </w:r>
          </w:p>
          <w:p>
            <w:pPr>
              <w:spacing w:after="40" w:before="40"/>
            </w:pPr>
            <w:r>
              <w:rPr>
                <w:rFonts w:ascii="Arial" w:cs="Arial" w:eastAsia="Arial" w:hAnsi="Arial"/>
                <w:color w:val="1A1A2E"/>
                <w:sz w:val="21"/>
                <w:szCs w:val="21"/>
              </w:rPr>
              <w:t xml:space="preserve">10 Absences — Formal review meeting with the student’s team (teacher, therapist, and administrator). An Attendance Improvement Plan (AIP) is developed collaboratively with the family.</w:t>
            </w:r>
          </w:p>
          <w:p>
            <w:pPr>
              <w:spacing w:after="40" w:before="40"/>
            </w:pPr>
            <w:r>
              <w:rPr>
                <w:rFonts w:ascii="Arial" w:cs="Arial" w:eastAsia="Arial" w:hAnsi="Arial"/>
                <w:color w:val="1A1A2E"/>
                <w:sz w:val="21"/>
                <w:szCs w:val="21"/>
              </w:rPr>
              <w:t xml:space="preserve">15+ Absences — Academic and therapeutic placement reviewed. Family may be referred to alternative program options including the Personalized Education Plan (PEP) program or a hybrid online learning model (see Section 1.5).</w:t>
            </w:r>
          </w:p>
        </w:tc>
      </w:tr>
    </w:tbl>
    <w:p>
      <w:pPr>
        <w:spacing w:after="0" w:before="120"/>
      </w:pPr>
    </w:p>
    <w:p>
      <w:pPr>
        <w:pStyle w:val="Heading2"/>
        <w:spacing w:after="120" w:before="280"/>
      </w:pPr>
      <w:r>
        <w:rPr>
          <w:rFonts w:ascii="Arial" w:cs="Arial" w:eastAsia="Arial" w:hAnsi="Arial"/>
          <w:b/>
          <w:bCs/>
          <w:color w:val="1A1A2E"/>
          <w:sz w:val="24"/>
          <w:szCs w:val="24"/>
        </w:rPr>
        <w:t xml:space="preserve">1.4 Reporting an Absence</w:t>
      </w:r>
    </w:p>
    <w:p>
      <w:pPr>
        <w:spacing w:after="80" w:before="60"/>
      </w:pPr>
      <w:r>
        <w:rPr>
          <w:rFonts w:ascii="Arial" w:cs="Arial" w:eastAsia="Arial" w:hAnsi="Arial"/>
          <w:color w:val="1A1A2E"/>
          <w:sz w:val="22"/>
          <w:szCs w:val="22"/>
        </w:rPr>
        <w:t xml:space="preserve">Parents and guardians are asked to notify the school of any anticipated absence as early as possible. Absences may be reported by:</w:t>
      </w:r>
    </w:p>
    <w:p>
      <w:pPr>
        <w:pStyle w:val="ListParagraph"/>
        <w:numPr>
          <w:ilvl w:val="0"/>
          <w:numId w:val="2"/>
        </w:numPr>
        <w:spacing w:after="40" w:before="40"/>
      </w:pPr>
      <w:r>
        <w:rPr>
          <w:rFonts w:ascii="Arial" w:cs="Arial" w:eastAsia="Arial" w:hAnsi="Arial"/>
          <w:b w:val="false"/>
          <w:bCs w:val="false"/>
          <w:color w:val="1A1A2E"/>
          <w:sz w:val="22"/>
          <w:szCs w:val="22"/>
        </w:rPr>
        <w:t xml:space="preserve">Emailing your child’s teacher or the front office directly</w:t>
      </w:r>
    </w:p>
    <w:p>
      <w:pPr>
        <w:pStyle w:val="ListParagraph"/>
        <w:numPr>
          <w:ilvl w:val="0"/>
          <w:numId w:val="2"/>
        </w:numPr>
        <w:spacing w:after="40" w:before="40"/>
      </w:pPr>
      <w:r>
        <w:rPr>
          <w:rFonts w:ascii="Arial" w:cs="Arial" w:eastAsia="Arial" w:hAnsi="Arial"/>
          <w:b w:val="false"/>
          <w:bCs w:val="false"/>
          <w:color w:val="1A1A2E"/>
          <w:sz w:val="22"/>
          <w:szCs w:val="22"/>
        </w:rPr>
        <w:t xml:space="preserve">Submitting written notice in your child’s weekly communication folder</w:t>
      </w:r>
    </w:p>
    <w:p>
      <w:pPr>
        <w:spacing w:after="80" w:before="60"/>
      </w:pPr>
      <w:r>
        <w:rPr>
          <w:rFonts w:ascii="Arial" w:cs="Arial" w:eastAsia="Arial" w:hAnsi="Arial"/>
          <w:color w:val="1A1A2E"/>
          <w:sz w:val="22"/>
          <w:szCs w:val="22"/>
        </w:rPr>
        <w:t xml:space="preserve">Documentation for excused absences (e.g., medical notes) should be submitted within five (5) school days of the student’s return.</w:t>
      </w:r>
    </w:p>
    <w:p>
      <w:pPr>
        <w:spacing w:after="0" w:before="100"/>
      </w:pPr>
    </w:p>
    <w:p>
      <w:pPr>
        <w:pStyle w:val="Heading2"/>
        <w:spacing w:after="120" w:before="280"/>
      </w:pPr>
      <w:r>
        <w:rPr>
          <w:rFonts w:ascii="Arial" w:cs="Arial" w:eastAsia="Arial" w:hAnsi="Arial"/>
          <w:b/>
          <w:bCs/>
          <w:color w:val="1A1A2E"/>
          <w:sz w:val="24"/>
          <w:szCs w:val="24"/>
        </w:rPr>
        <w:t xml:space="preserve">1.5 Flexible Attendance &amp; Transition Options</w:t>
      </w:r>
    </w:p>
    <w:p>
      <w:pPr>
        <w:spacing w:after="80" w:before="60"/>
      </w:pPr>
      <w:r>
        <w:rPr>
          <w:rFonts w:ascii="Arial" w:cs="Arial" w:eastAsia="Arial" w:hAnsi="Arial"/>
          <w:color w:val="1A1A2E"/>
          <w:sz w:val="22"/>
          <w:szCs w:val="22"/>
        </w:rPr>
        <w:t xml:space="preserve">Wildflower Academy is committed to keeping every student engaged in learning, even when traditional full-time attendance is not immediately possible. For students experiencing extended absences, medical challenges, or heightened anxiety related to school attendance, the following options are available:</w:t>
      </w:r>
    </w:p>
    <w:p>
      <w:pPr>
        <w:spacing w:after="0" w:before="60"/>
      </w:pPr>
    </w:p>
    <w:p>
      <w:pPr>
        <w:pStyle w:val="ListParagraph"/>
        <w:numPr>
          <w:ilvl w:val="0"/>
          <w:numId w:val="2"/>
        </w:numPr>
        <w:spacing w:after="40" w:before="40"/>
      </w:pPr>
      <w:r>
        <w:rPr>
          <w:rFonts w:ascii="Arial" w:cs="Arial" w:eastAsia="Arial" w:hAnsi="Arial"/>
          <w:b/>
          <w:bCs/>
          <w:color w:val="1A1A2E"/>
          <w:sz w:val="22"/>
          <w:szCs w:val="22"/>
        </w:rPr>
        <w:t xml:space="preserve">Personalized Education Plan (PEP) Program:</w:t>
      </w:r>
    </w:p>
    <w:p>
      <w:pPr>
        <w:pStyle w:val="ListParagraph"/>
        <w:numPr>
          <w:ilvl w:val="0"/>
          <w:numId w:val="3"/>
        </w:numPr>
        <w:spacing w:after="30" w:before="30"/>
      </w:pPr>
      <w:r>
        <w:rPr>
          <w:rFonts w:ascii="Arial" w:cs="Arial" w:eastAsia="Arial" w:hAnsi="Arial"/>
          <w:color w:val="444444"/>
          <w:sz w:val="21"/>
          <w:szCs w:val="21"/>
        </w:rPr>
        <w:t xml:space="preserve">Students may transition to a modified, individualized schedule designed in collaboration with their educational and ABA therapy team.</w:t>
      </w:r>
    </w:p>
    <w:p>
      <w:pPr>
        <w:pStyle w:val="ListParagraph"/>
        <w:numPr>
          <w:ilvl w:val="0"/>
          <w:numId w:val="3"/>
        </w:numPr>
        <w:spacing w:after="30" w:before="30"/>
      </w:pPr>
      <w:r>
        <w:rPr>
          <w:rFonts w:ascii="Arial" w:cs="Arial" w:eastAsia="Arial" w:hAnsi="Arial"/>
          <w:color w:val="444444"/>
          <w:sz w:val="21"/>
          <w:szCs w:val="21"/>
        </w:rPr>
        <w:t xml:space="preserve">PEP programs are reviewed quarterly and adjusted as the student’s needs evolve.</w:t>
      </w:r>
    </w:p>
    <w:p>
      <w:pPr>
        <w:spacing w:after="0" w:before="40"/>
      </w:pPr>
    </w:p>
    <w:p>
      <w:pPr>
        <w:pStyle w:val="ListParagraph"/>
        <w:numPr>
          <w:ilvl w:val="0"/>
          <w:numId w:val="2"/>
        </w:numPr>
        <w:spacing w:after="40" w:before="40"/>
      </w:pPr>
      <w:r>
        <w:rPr>
          <w:rFonts w:ascii="Arial" w:cs="Arial" w:eastAsia="Arial" w:hAnsi="Arial"/>
          <w:b/>
          <w:bCs/>
          <w:color w:val="1A1A2E"/>
          <w:sz w:val="22"/>
          <w:szCs w:val="22"/>
        </w:rPr>
        <w:t xml:space="preserve">Hybrid / Online Learning Model:</w:t>
      </w:r>
    </w:p>
    <w:p>
      <w:pPr>
        <w:pStyle w:val="ListParagraph"/>
        <w:numPr>
          <w:ilvl w:val="0"/>
          <w:numId w:val="3"/>
        </w:numPr>
        <w:spacing w:after="30" w:before="30"/>
      </w:pPr>
      <w:r>
        <w:rPr>
          <w:rFonts w:ascii="Arial" w:cs="Arial" w:eastAsia="Arial" w:hAnsi="Arial"/>
          <w:color w:val="444444"/>
          <w:sz w:val="21"/>
          <w:szCs w:val="21"/>
        </w:rPr>
        <w:t xml:space="preserve">Eligible students may access coursework through an approved online platform while maintaining connection to Wildflower Academy’s therapeutic and support services.</w:t>
      </w:r>
    </w:p>
    <w:p>
      <w:pPr>
        <w:pStyle w:val="ListParagraph"/>
        <w:numPr>
          <w:ilvl w:val="0"/>
          <w:numId w:val="3"/>
        </w:numPr>
        <w:spacing w:after="30" w:before="30"/>
      </w:pPr>
      <w:r>
        <w:rPr>
          <w:rFonts w:ascii="Arial" w:cs="Arial" w:eastAsia="Arial" w:hAnsi="Arial"/>
          <w:color w:val="444444"/>
          <w:sz w:val="21"/>
          <w:szCs w:val="21"/>
        </w:rPr>
        <w:t xml:space="preserve">Participation in ABA therapy and related services continues regardless of attendance modality.</w:t>
      </w:r>
    </w:p>
    <w:p>
      <w:pPr>
        <w:pStyle w:val="ListParagraph"/>
        <w:numPr>
          <w:ilvl w:val="0"/>
          <w:numId w:val="3"/>
        </w:numPr>
        <w:spacing w:after="30" w:before="30"/>
      </w:pPr>
      <w:r>
        <w:rPr>
          <w:rFonts w:ascii="Arial" w:cs="Arial" w:eastAsia="Arial" w:hAnsi="Arial"/>
          <w:color w:val="444444"/>
          <w:sz w:val="21"/>
          <w:szCs w:val="21"/>
        </w:rPr>
        <w:t xml:space="preserve">Transition to hybrid learning requires a team meeting and administrator approval.</w:t>
      </w:r>
    </w:p>
    <w:p>
      <w:pPr>
        <w:spacing w:after="0" w:before="60"/>
      </w:pPr>
    </w:p>
    <w:p>
      <w:pPr>
        <w:spacing w:after="80" w:before="60"/>
      </w:pPr>
      <w:r>
        <w:rPr>
          <w:rFonts w:ascii="Arial" w:cs="Arial" w:eastAsia="Arial" w:hAnsi="Arial"/>
          <w:color w:val="1A1A2E"/>
          <w:sz w:val="22"/>
          <w:szCs w:val="22"/>
        </w:rPr>
        <w:t xml:space="preserve">Families interested in exploring these options are encouraged to speak with their child’s teacher or the administration team at any time — there is no minimum number of absences required before requesting a conversation.</w:t>
      </w:r>
    </w:p>
    <w:p>
      <w:pPr>
        <w:spacing w:after="0" w:before="120"/>
      </w:pPr>
    </w:p>
    <w:p>
      <w:pPr>
        <w:pStyle w:val="Heading2"/>
        <w:spacing w:after="120" w:before="280"/>
      </w:pPr>
      <w:r>
        <w:rPr>
          <w:rFonts w:ascii="Arial" w:cs="Arial" w:eastAsia="Arial" w:hAnsi="Arial"/>
          <w:b/>
          <w:bCs/>
          <w:color w:val="1A1A2E"/>
          <w:sz w:val="24"/>
          <w:szCs w:val="24"/>
        </w:rPr>
        <w:t xml:space="preserve">1.6 Tardy Policy</w:t>
      </w:r>
    </w:p>
    <w:p>
      <w:pPr>
        <w:spacing w:after="80" w:before="60"/>
      </w:pPr>
      <w:r>
        <w:rPr>
          <w:rFonts w:ascii="Arial" w:cs="Arial" w:eastAsia="Arial" w:hAnsi="Arial"/>
          <w:color w:val="1A1A2E"/>
          <w:sz w:val="22"/>
          <w:szCs w:val="22"/>
        </w:rPr>
        <w:t xml:space="preserve">Wildflower Academy does not maintain a formal tardy policy. We understand that morning routines can be particularly challenging for students with autism and other developmental differences. Families are encouraged to bring students to school whenever they are ready and able. If consistent late arrivals are impacting a student’s programming, staff will work collaboratively with the family to develop supportive strategies — not punitive ones.</w:t>
      </w:r>
    </w:p>
    <w:p>
      <w:pPr>
        <w:spacing w:after="0" w:before="200"/>
      </w:pPr>
    </w:p>
    <w:p>
      <w:pPr>
        <w:pStyle w:val="Heading1"/>
        <w:pBdr>
          <w:bottom w:val="single" w:color="2E8B8B" w:sz="8" w:space="6"/>
        </w:pBdr>
        <w:spacing w:after="160" w:before="360"/>
      </w:pPr>
      <w:r>
        <w:rPr>
          <w:rFonts w:ascii="Arial" w:cs="Arial" w:eastAsia="Arial" w:hAnsi="Arial"/>
          <w:b/>
          <w:bCs/>
          <w:color w:val="2E8B8B"/>
          <w:sz w:val="28"/>
          <w:szCs w:val="28"/>
        </w:rPr>
        <w:t xml:space="preserve">SECTION 2: HOW WE ADMINISTER THE PROGRAM</w:t>
      </w:r>
    </w:p>
    <w:p>
      <w:pPr>
        <w:spacing w:after="80" w:before="60"/>
      </w:pPr>
      <w:r>
        <w:rPr>
          <w:rFonts w:ascii="Arial" w:cs="Arial" w:eastAsia="Arial" w:hAnsi="Arial"/>
          <w:color w:val="1A1A2E"/>
          <w:sz w:val="22"/>
          <w:szCs w:val="22"/>
        </w:rPr>
        <w:t xml:space="preserve">Wildflower Academy operates as a small, student-centered private school serving students in PreK through Grade 8. Our program integrates academic instruction with Applied Behavior Analysis (ABA) therapy and related therapeutic services, all coordinated through our parent organization, Synergy Health Group.</w:t>
      </w:r>
    </w:p>
    <w:p>
      <w:pPr>
        <w:spacing w:after="0" w:before="100"/>
      </w:pPr>
    </w:p>
    <w:p>
      <w:pPr>
        <w:pStyle w:val="Heading2"/>
        <w:spacing w:after="120" w:before="280"/>
      </w:pPr>
      <w:r>
        <w:rPr>
          <w:rFonts w:ascii="Arial" w:cs="Arial" w:eastAsia="Arial" w:hAnsi="Arial"/>
          <w:b/>
          <w:bCs/>
          <w:color w:val="1A1A2E"/>
          <w:sz w:val="24"/>
          <w:szCs w:val="24"/>
        </w:rPr>
        <w:t xml:space="preserve">2.1 Individualized Approach</w:t>
      </w:r>
    </w:p>
    <w:p>
      <w:pPr>
        <w:spacing w:after="80" w:before="60"/>
      </w:pPr>
      <w:r>
        <w:rPr>
          <w:rFonts w:ascii="Arial" w:cs="Arial" w:eastAsia="Arial" w:hAnsi="Arial"/>
          <w:color w:val="1A1A2E"/>
          <w:sz w:val="22"/>
          <w:szCs w:val="22"/>
        </w:rPr>
        <w:t xml:space="preserve">Every student at Wildflower Academy is served through an individualized educational and therapeutic plan. Our instructional model is built around each student’s unique strengths, learning profile, and goals rather than a one-size-fits-all curriculum. Programming is developed collaboratively between educators, Board Certified Behavior Analysts (BCBAs), therapists, and families.</w:t>
      </w:r>
    </w:p>
    <w:p>
      <w:pPr>
        <w:spacing w:after="0" w:before="100"/>
      </w:pPr>
    </w:p>
    <w:p>
      <w:pPr>
        <w:pStyle w:val="Heading2"/>
        <w:spacing w:after="120" w:before="280"/>
      </w:pPr>
      <w:r>
        <w:rPr>
          <w:rFonts w:ascii="Arial" w:cs="Arial" w:eastAsia="Arial" w:hAnsi="Arial"/>
          <w:b/>
          <w:bCs/>
          <w:color w:val="1A1A2E"/>
          <w:sz w:val="24"/>
          <w:szCs w:val="24"/>
        </w:rPr>
        <w:t xml:space="preserve">2.2 ABA Therapy Integration</w:t>
      </w:r>
    </w:p>
    <w:p>
      <w:pPr>
        <w:spacing w:after="80" w:before="60"/>
      </w:pPr>
      <w:r>
        <w:rPr>
          <w:rFonts w:ascii="Arial" w:cs="Arial" w:eastAsia="Arial" w:hAnsi="Arial"/>
          <w:color w:val="1A1A2E"/>
          <w:sz w:val="22"/>
          <w:szCs w:val="22"/>
        </w:rPr>
        <w:t xml:space="preserve">Applied Behavior Analysis (ABA) therapy is woven into the daily school experience at Wildflower Academy. ABA services are delivered by qualified Registered Behavior Technicians (RBTs) under the supervision of a BCBA. ABA goals are aligned with each student’s individualized plan and are reviewed and updated on an ongoing basis.</w:t>
      </w:r>
    </w:p>
    <w:p>
      <w:pPr>
        <w:spacing w:after="0" w:before="60"/>
      </w:pPr>
    </w:p>
    <w:p>
      <w:pPr>
        <w:spacing w:after="80" w:before="60"/>
      </w:pPr>
      <w:r>
        <w:rPr>
          <w:rFonts w:ascii="Arial" w:cs="Arial" w:eastAsia="Arial" w:hAnsi="Arial"/>
          <w:color w:val="1A1A2E"/>
          <w:sz w:val="22"/>
          <w:szCs w:val="22"/>
        </w:rPr>
        <w:t xml:space="preserve">ABA therapy at Wildflower Academy may include:</w:t>
      </w:r>
    </w:p>
    <w:p>
      <w:pPr>
        <w:pStyle w:val="ListParagraph"/>
        <w:numPr>
          <w:ilvl w:val="0"/>
          <w:numId w:val="2"/>
        </w:numPr>
        <w:spacing w:after="40" w:before="40"/>
      </w:pPr>
      <w:r>
        <w:rPr>
          <w:rFonts w:ascii="Arial" w:cs="Arial" w:eastAsia="Arial" w:hAnsi="Arial"/>
          <w:b w:val="false"/>
          <w:bCs w:val="false"/>
          <w:color w:val="1A1A2E"/>
          <w:sz w:val="22"/>
          <w:szCs w:val="22"/>
        </w:rPr>
        <w:t xml:space="preserve">Discrete Trial Training (DTT) in structured small-group or 1:1 settings</w:t>
      </w:r>
    </w:p>
    <w:p>
      <w:pPr>
        <w:pStyle w:val="ListParagraph"/>
        <w:numPr>
          <w:ilvl w:val="0"/>
          <w:numId w:val="2"/>
        </w:numPr>
        <w:spacing w:after="40" w:before="40"/>
      </w:pPr>
      <w:r>
        <w:rPr>
          <w:rFonts w:ascii="Arial" w:cs="Arial" w:eastAsia="Arial" w:hAnsi="Arial"/>
          <w:b w:val="false"/>
          <w:bCs w:val="false"/>
          <w:color w:val="1A1A2E"/>
          <w:sz w:val="22"/>
          <w:szCs w:val="22"/>
        </w:rPr>
        <w:t xml:space="preserve">Natural Environment Teaching (NET) embedded throughout the school day</w:t>
      </w:r>
    </w:p>
    <w:p>
      <w:pPr>
        <w:pStyle w:val="ListParagraph"/>
        <w:numPr>
          <w:ilvl w:val="0"/>
          <w:numId w:val="2"/>
        </w:numPr>
        <w:spacing w:after="40" w:before="40"/>
      </w:pPr>
      <w:r>
        <w:rPr>
          <w:rFonts w:ascii="Arial" w:cs="Arial" w:eastAsia="Arial" w:hAnsi="Arial"/>
          <w:b w:val="false"/>
          <w:bCs w:val="false"/>
          <w:color w:val="1A1A2E"/>
          <w:sz w:val="22"/>
          <w:szCs w:val="22"/>
        </w:rPr>
        <w:t xml:space="preserve">Social skills development and peer interaction programming</w:t>
      </w:r>
    </w:p>
    <w:p>
      <w:pPr>
        <w:pStyle w:val="ListParagraph"/>
        <w:numPr>
          <w:ilvl w:val="0"/>
          <w:numId w:val="2"/>
        </w:numPr>
        <w:spacing w:after="40" w:before="40"/>
      </w:pPr>
      <w:r>
        <w:rPr>
          <w:rFonts w:ascii="Arial" w:cs="Arial" w:eastAsia="Arial" w:hAnsi="Arial"/>
          <w:b w:val="false"/>
          <w:bCs w:val="false"/>
          <w:color w:val="1A1A2E"/>
          <w:sz w:val="22"/>
          <w:szCs w:val="22"/>
        </w:rPr>
        <w:t xml:space="preserve">Behavioral support and positive behavior intervention strategies</w:t>
      </w:r>
    </w:p>
    <w:p>
      <w:pPr>
        <w:pStyle w:val="ListParagraph"/>
        <w:numPr>
          <w:ilvl w:val="0"/>
          <w:numId w:val="2"/>
        </w:numPr>
        <w:spacing w:after="40" w:before="40"/>
      </w:pPr>
      <w:r>
        <w:rPr>
          <w:rFonts w:ascii="Arial" w:cs="Arial" w:eastAsia="Arial" w:hAnsi="Arial"/>
          <w:b w:val="false"/>
          <w:bCs w:val="false"/>
          <w:color w:val="1A1A2E"/>
          <w:sz w:val="22"/>
          <w:szCs w:val="22"/>
        </w:rPr>
        <w:t xml:space="preserve">Functional communication training</w:t>
      </w:r>
    </w:p>
    <w:p>
      <w:pPr>
        <w:spacing w:after="0" w:before="100"/>
      </w:pPr>
    </w:p>
    <w:p>
      <w:pPr>
        <w:pStyle w:val="Heading2"/>
        <w:spacing w:after="120" w:before="280"/>
      </w:pPr>
      <w:r>
        <w:rPr>
          <w:rFonts w:ascii="Arial" w:cs="Arial" w:eastAsia="Arial" w:hAnsi="Arial"/>
          <w:b/>
          <w:bCs/>
          <w:color w:val="1A1A2E"/>
          <w:sz w:val="24"/>
          <w:szCs w:val="24"/>
        </w:rPr>
        <w:t xml:space="preserve">2.3 School Hours &amp; Schedule</w:t>
      </w:r>
    </w:p>
    <w:p>
      <w:pPr>
        <w:spacing w:after="80" w:before="60"/>
      </w:pPr>
      <w:r>
        <w:rPr>
          <w:rFonts w:ascii="Arial" w:cs="Arial" w:eastAsia="Arial" w:hAnsi="Arial"/>
          <w:color w:val="1A1A2E"/>
          <w:sz w:val="22"/>
          <w:szCs w:val="22"/>
        </w:rPr>
        <w:t xml:space="preserve">The standard school day runs Monday through Friday following the Wildflower Academy academic calendar. Specific start and end times, as well as the annual school calendar including holidays and breaks, will be provided at enrollment and updated each school year.</w:t>
      </w:r>
    </w:p>
    <w:p>
      <w:pPr>
        <w:spacing w:after="0" w:before="100"/>
      </w:pPr>
    </w:p>
    <w:p>
      <w:pPr>
        <w:pStyle w:val="Heading2"/>
        <w:spacing w:after="120" w:before="280"/>
      </w:pPr>
      <w:r>
        <w:rPr>
          <w:rFonts w:ascii="Arial" w:cs="Arial" w:eastAsia="Arial" w:hAnsi="Arial"/>
          <w:b/>
          <w:bCs/>
          <w:color w:val="1A1A2E"/>
          <w:sz w:val="24"/>
          <w:szCs w:val="24"/>
        </w:rPr>
        <w:t xml:space="preserve">2.4 Staffing &amp; Supervision</w:t>
      </w:r>
    </w:p>
    <w:p>
      <w:pPr>
        <w:spacing w:after="80" w:before="60"/>
      </w:pPr>
      <w:r>
        <w:rPr>
          <w:rFonts w:ascii="Arial" w:cs="Arial" w:eastAsia="Arial" w:hAnsi="Arial"/>
          <w:color w:val="1A1A2E"/>
          <w:sz w:val="22"/>
          <w:szCs w:val="22"/>
        </w:rPr>
        <w:t xml:space="preserve">All students are supervised by qualified staff at all times during the school day, including during transitions, lunch, and outdoor or sensory breaks. Staff-to-student ratios are maintained to ensure individualized attention and safety for all students.</w:t>
      </w:r>
    </w:p>
    <w:p>
      <w:pPr>
        <w:spacing w:after="0" w:before="200"/>
      </w:pPr>
    </w:p>
    <w:p>
      <w:pPr>
        <w:pStyle w:val="Heading1"/>
        <w:pBdr>
          <w:bottom w:val="single" w:color="2E8B8B" w:sz="8" w:space="6"/>
        </w:pBdr>
        <w:spacing w:after="160" w:before="360"/>
      </w:pPr>
      <w:r>
        <w:rPr>
          <w:rFonts w:ascii="Arial" w:cs="Arial" w:eastAsia="Arial" w:hAnsi="Arial"/>
          <w:b/>
          <w:bCs/>
          <w:color w:val="2E8B8B"/>
          <w:sz w:val="28"/>
          <w:szCs w:val="28"/>
        </w:rPr>
        <w:t xml:space="preserve">SECTION 3: PARENT &amp; FAMILY RESPONSIBILITIES</w:t>
      </w:r>
    </w:p>
    <w:p>
      <w:pPr>
        <w:spacing w:after="80" w:before="60"/>
      </w:pPr>
      <w:r>
        <w:rPr>
          <w:rFonts w:ascii="Arial" w:cs="Arial" w:eastAsia="Arial" w:hAnsi="Arial"/>
          <w:color w:val="1A1A2E"/>
          <w:sz w:val="22"/>
          <w:szCs w:val="22"/>
        </w:rPr>
        <w:t xml:space="preserve">Wildflower Academy operates on a partnership model. We believe that a child’s progress is greatest when school and home are working in alignment. Families are considered core members of their child’s team, and we actively seek your input, feedback, and participation.</w:t>
      </w:r>
    </w:p>
    <w:p>
      <w:pPr>
        <w:spacing w:after="0" w:before="100"/>
      </w:pPr>
    </w:p>
    <w:p>
      <w:pPr>
        <w:pStyle w:val="Heading2"/>
        <w:spacing w:after="120" w:before="280"/>
      </w:pPr>
      <w:r>
        <w:rPr>
          <w:rFonts w:ascii="Arial" w:cs="Arial" w:eastAsia="Arial" w:hAnsi="Arial"/>
          <w:b/>
          <w:bCs/>
          <w:color w:val="1A1A2E"/>
          <w:sz w:val="24"/>
          <w:szCs w:val="24"/>
        </w:rPr>
        <w:t xml:space="preserve">3.1 Communication</w:t>
      </w:r>
    </w:p>
    <w:p>
      <w:pPr>
        <w:spacing w:after="80" w:before="60"/>
      </w:pPr>
      <w:r>
        <w:rPr>
          <w:rFonts w:ascii="Arial" w:cs="Arial" w:eastAsia="Arial" w:hAnsi="Arial"/>
          <w:color w:val="1A1A2E"/>
          <w:sz w:val="22"/>
          <w:szCs w:val="22"/>
        </w:rPr>
        <w:t xml:space="preserve">Parents and guardians can expect regular communication from Wildflower Academy through the following channels:</w:t>
      </w:r>
    </w:p>
    <w:p>
      <w:pPr>
        <w:spacing w:after="0" w:before="60"/>
      </w:pPr>
    </w:p>
    <w:p>
      <w:pPr>
        <w:pStyle w:val="ListParagraph"/>
        <w:numPr>
          <w:ilvl w:val="0"/>
          <w:numId w:val="2"/>
        </w:numPr>
        <w:spacing w:after="40" w:before="40"/>
      </w:pPr>
      <w:r>
        <w:rPr>
          <w:rFonts w:ascii="Arial" w:cs="Arial" w:eastAsia="Arial" w:hAnsi="Arial"/>
          <w:b/>
          <w:bCs/>
          <w:color w:val="1A1A2E"/>
          <w:sz w:val="22"/>
          <w:szCs w:val="22"/>
        </w:rPr>
        <w:t xml:space="preserve">Weekly Communication Folder:</w:t>
      </w:r>
    </w:p>
    <w:p>
      <w:pPr>
        <w:pStyle w:val="ListParagraph"/>
        <w:numPr>
          <w:ilvl w:val="0"/>
          <w:numId w:val="3"/>
        </w:numPr>
        <w:spacing w:after="30" w:before="30"/>
      </w:pPr>
      <w:r>
        <w:rPr>
          <w:rFonts w:ascii="Arial" w:cs="Arial" w:eastAsia="Arial" w:hAnsi="Arial"/>
          <w:color w:val="444444"/>
          <w:sz w:val="21"/>
          <w:szCs w:val="21"/>
        </w:rPr>
        <w:t xml:space="preserve">Each student will send home a weekly folder containing updates, notes from teachers, any important school communications, and documents requiring a parent signature.</w:t>
      </w:r>
    </w:p>
    <w:p>
      <w:pPr>
        <w:pStyle w:val="ListParagraph"/>
        <w:numPr>
          <w:ilvl w:val="0"/>
          <w:numId w:val="3"/>
        </w:numPr>
        <w:spacing w:after="30" w:before="30"/>
      </w:pPr>
      <w:r>
        <w:rPr>
          <w:rFonts w:ascii="Arial" w:cs="Arial" w:eastAsia="Arial" w:hAnsi="Arial"/>
          <w:color w:val="444444"/>
          <w:sz w:val="21"/>
          <w:szCs w:val="21"/>
        </w:rPr>
        <w:t xml:space="preserve">Families are asked to review the folder, sign any required materials, and return it to school the following day.</w:t>
      </w:r>
    </w:p>
    <w:p>
      <w:pPr>
        <w:spacing w:after="0" w:before="40"/>
      </w:pPr>
    </w:p>
    <w:p>
      <w:pPr>
        <w:pStyle w:val="ListParagraph"/>
        <w:numPr>
          <w:ilvl w:val="0"/>
          <w:numId w:val="2"/>
        </w:numPr>
        <w:spacing w:after="40" w:before="40"/>
      </w:pPr>
      <w:r>
        <w:rPr>
          <w:rFonts w:ascii="Arial" w:cs="Arial" w:eastAsia="Arial" w:hAnsi="Arial"/>
          <w:b/>
          <w:bCs/>
          <w:color w:val="1A1A2E"/>
          <w:sz w:val="22"/>
          <w:szCs w:val="22"/>
        </w:rPr>
        <w:t xml:space="preserve">Email:</w:t>
      </w:r>
    </w:p>
    <w:p>
      <w:pPr>
        <w:pStyle w:val="ListParagraph"/>
        <w:numPr>
          <w:ilvl w:val="0"/>
          <w:numId w:val="3"/>
        </w:numPr>
        <w:spacing w:after="30" w:before="30"/>
      </w:pPr>
      <w:r>
        <w:rPr>
          <w:rFonts w:ascii="Arial" w:cs="Arial" w:eastAsia="Arial" w:hAnsi="Arial"/>
          <w:color w:val="444444"/>
          <w:sz w:val="21"/>
          <w:szCs w:val="21"/>
        </w:rPr>
        <w:t xml:space="preserve">Teachers and staff will communicate directly with families via email for updates, concerns, and scheduling. Families are asked to maintain a current email address on file with the school.</w:t>
      </w:r>
    </w:p>
    <w:p>
      <w:pPr>
        <w:pStyle w:val="ListParagraph"/>
        <w:numPr>
          <w:ilvl w:val="0"/>
          <w:numId w:val="3"/>
        </w:numPr>
        <w:spacing w:after="30" w:before="30"/>
      </w:pPr>
      <w:r>
        <w:rPr>
          <w:rFonts w:ascii="Arial" w:cs="Arial" w:eastAsia="Arial" w:hAnsi="Arial"/>
          <w:color w:val="444444"/>
          <w:sz w:val="21"/>
          <w:szCs w:val="21"/>
        </w:rPr>
        <w:t xml:space="preserve">Email responses from school staff can be expected within one (1) business day.</w:t>
      </w:r>
    </w:p>
    <w:p>
      <w:pPr>
        <w:spacing w:after="0" w:before="60"/>
      </w:pPr>
    </w:p>
    <w:p>
      <w:pPr>
        <w:spacing w:after="80" w:before="60"/>
      </w:pPr>
      <w:r>
        <w:rPr>
          <w:rFonts w:ascii="Arial" w:cs="Arial" w:eastAsia="Arial" w:hAnsi="Arial"/>
          <w:color w:val="1A1A2E"/>
          <w:sz w:val="22"/>
          <w:szCs w:val="22"/>
        </w:rPr>
        <w:t xml:space="preserve">Families are always welcome to request a meeting, phone call, or additional check-in at any time. We are here to support you.</w:t>
      </w:r>
    </w:p>
    <w:p>
      <w:pPr>
        <w:spacing w:after="0" w:before="100"/>
      </w:pPr>
    </w:p>
    <w:p>
      <w:pPr>
        <w:pStyle w:val="Heading2"/>
        <w:spacing w:after="120" w:before="280"/>
      </w:pPr>
      <w:r>
        <w:rPr>
          <w:rFonts w:ascii="Arial" w:cs="Arial" w:eastAsia="Arial" w:hAnsi="Arial"/>
          <w:b/>
          <w:bCs/>
          <w:color w:val="1A1A2E"/>
          <w:sz w:val="24"/>
          <w:szCs w:val="24"/>
        </w:rPr>
        <w:t xml:space="preserve">3.2 Parent Responsibilities</w:t>
      </w:r>
    </w:p>
    <w:p>
      <w:pPr>
        <w:spacing w:after="80" w:before="60"/>
      </w:pPr>
      <w:r>
        <w:rPr>
          <w:rFonts w:ascii="Arial" w:cs="Arial" w:eastAsia="Arial" w:hAnsi="Arial"/>
          <w:color w:val="1A1A2E"/>
          <w:sz w:val="22"/>
          <w:szCs w:val="22"/>
        </w:rPr>
        <w:t xml:space="preserve">To support your child’s success at Wildflower Academy, families are asked to:</w:t>
      </w:r>
    </w:p>
    <w:p>
      <w:pPr>
        <w:pStyle w:val="ListParagraph"/>
        <w:numPr>
          <w:ilvl w:val="0"/>
          <w:numId w:val="2"/>
        </w:numPr>
        <w:spacing w:after="40" w:before="40"/>
      </w:pPr>
      <w:r>
        <w:rPr>
          <w:rFonts w:ascii="Arial" w:cs="Arial" w:eastAsia="Arial" w:hAnsi="Arial"/>
          <w:b w:val="false"/>
          <w:bCs w:val="false"/>
          <w:color w:val="1A1A2E"/>
          <w:sz w:val="22"/>
          <w:szCs w:val="22"/>
        </w:rPr>
        <w:t xml:space="preserve">Ensure your child arrives at school prepared and as consistently as possible</w:t>
      </w:r>
    </w:p>
    <w:p>
      <w:pPr>
        <w:pStyle w:val="ListParagraph"/>
        <w:numPr>
          <w:ilvl w:val="0"/>
          <w:numId w:val="2"/>
        </w:numPr>
        <w:spacing w:after="40" w:before="40"/>
      </w:pPr>
      <w:r>
        <w:rPr>
          <w:rFonts w:ascii="Arial" w:cs="Arial" w:eastAsia="Arial" w:hAnsi="Arial"/>
          <w:b w:val="false"/>
          <w:bCs w:val="false"/>
          <w:color w:val="1A1A2E"/>
          <w:sz w:val="22"/>
          <w:szCs w:val="22"/>
        </w:rPr>
        <w:t xml:space="preserve">Notify the school promptly of any absences, changes in health status, or relevant events at home that may affect your child’s behavior or mood</w:t>
      </w:r>
    </w:p>
    <w:p>
      <w:pPr>
        <w:pStyle w:val="ListParagraph"/>
        <w:numPr>
          <w:ilvl w:val="0"/>
          <w:numId w:val="2"/>
        </w:numPr>
        <w:spacing w:after="40" w:before="40"/>
      </w:pPr>
      <w:r>
        <w:rPr>
          <w:rFonts w:ascii="Arial" w:cs="Arial" w:eastAsia="Arial" w:hAnsi="Arial"/>
          <w:b w:val="false"/>
          <w:bCs w:val="false"/>
          <w:color w:val="1A1A2E"/>
          <w:sz w:val="22"/>
          <w:szCs w:val="22"/>
        </w:rPr>
        <w:t xml:space="preserve">Review and return weekly communication folders in a timely manner</w:t>
      </w:r>
    </w:p>
    <w:p>
      <w:pPr>
        <w:pStyle w:val="ListParagraph"/>
        <w:numPr>
          <w:ilvl w:val="0"/>
          <w:numId w:val="2"/>
        </w:numPr>
        <w:spacing w:after="40" w:before="40"/>
      </w:pPr>
      <w:r>
        <w:rPr>
          <w:rFonts w:ascii="Arial" w:cs="Arial" w:eastAsia="Arial" w:hAnsi="Arial"/>
          <w:b w:val="false"/>
          <w:bCs w:val="false"/>
          <w:color w:val="1A1A2E"/>
          <w:sz w:val="22"/>
          <w:szCs w:val="22"/>
        </w:rPr>
        <w:t xml:space="preserve">Maintain current contact information with the front office at all times</w:t>
      </w:r>
    </w:p>
    <w:p>
      <w:pPr>
        <w:pStyle w:val="ListParagraph"/>
        <w:numPr>
          <w:ilvl w:val="0"/>
          <w:numId w:val="2"/>
        </w:numPr>
        <w:spacing w:after="40" w:before="40"/>
      </w:pPr>
      <w:r>
        <w:rPr>
          <w:rFonts w:ascii="Arial" w:cs="Arial" w:eastAsia="Arial" w:hAnsi="Arial"/>
          <w:b w:val="false"/>
          <w:bCs w:val="false"/>
          <w:color w:val="1A1A2E"/>
          <w:sz w:val="22"/>
          <w:szCs w:val="22"/>
        </w:rPr>
        <w:t xml:space="preserve">Participate in scheduled team meetings, progress reviews, and IEP-related conferences</w:t>
      </w:r>
    </w:p>
    <w:p>
      <w:pPr>
        <w:pStyle w:val="ListParagraph"/>
        <w:numPr>
          <w:ilvl w:val="0"/>
          <w:numId w:val="2"/>
        </w:numPr>
        <w:spacing w:after="40" w:before="40"/>
      </w:pPr>
      <w:r>
        <w:rPr>
          <w:rFonts w:ascii="Arial" w:cs="Arial" w:eastAsia="Arial" w:hAnsi="Arial"/>
          <w:b w:val="false"/>
          <w:bCs w:val="false"/>
          <w:color w:val="1A1A2E"/>
          <w:sz w:val="22"/>
          <w:szCs w:val="22"/>
        </w:rPr>
        <w:t xml:space="preserve">Reinforce skills and strategies at home as recommended by your child’s ABA and educational team</w:t>
      </w:r>
    </w:p>
    <w:p>
      <w:pPr>
        <w:pStyle w:val="ListParagraph"/>
        <w:numPr>
          <w:ilvl w:val="0"/>
          <w:numId w:val="2"/>
        </w:numPr>
        <w:spacing w:after="40" w:before="40"/>
      </w:pPr>
      <w:r>
        <w:rPr>
          <w:rFonts w:ascii="Arial" w:cs="Arial" w:eastAsia="Arial" w:hAnsi="Arial"/>
          <w:b w:val="false"/>
          <w:bCs w:val="false"/>
          <w:color w:val="1A1A2E"/>
          <w:sz w:val="22"/>
          <w:szCs w:val="22"/>
        </w:rPr>
        <w:t xml:space="preserve">Treat all Wildflower Academy staff with respect and professionalism</w:t>
      </w:r>
    </w:p>
    <w:p>
      <w:pPr>
        <w:spacing w:after="0" w:before="100"/>
      </w:pPr>
    </w:p>
    <w:p>
      <w:pPr>
        <w:pStyle w:val="Heading2"/>
        <w:spacing w:after="120" w:before="280"/>
      </w:pPr>
      <w:r>
        <w:rPr>
          <w:rFonts w:ascii="Arial" w:cs="Arial" w:eastAsia="Arial" w:hAnsi="Arial"/>
          <w:b/>
          <w:bCs/>
          <w:color w:val="1A1A2E"/>
          <w:sz w:val="24"/>
          <w:szCs w:val="24"/>
        </w:rPr>
        <w:t xml:space="preserve">3.3 Family Involvement</w:t>
      </w:r>
    </w:p>
    <w:p>
      <w:pPr>
        <w:spacing w:after="80" w:before="60"/>
      </w:pPr>
      <w:r>
        <w:rPr>
          <w:rFonts w:ascii="Arial" w:cs="Arial" w:eastAsia="Arial" w:hAnsi="Arial"/>
          <w:color w:val="1A1A2E"/>
          <w:sz w:val="22"/>
          <w:szCs w:val="22"/>
        </w:rPr>
        <w:t xml:space="preserve">We encourage families to be active participants in the Wildflower Academy community. Opportunities for involvement include parent-teacher conferences, school events, volunteer opportunities, and participation in your child’s individual planning meetings. Details on upcoming opportunities will be shared through the weekly folder and email communications.</w:t>
      </w:r>
    </w:p>
    <w:p>
      <w:pPr>
        <w:spacing w:after="0" w:before="200"/>
      </w:pPr>
    </w:p>
    <w:p>
      <w:pPr>
        <w:pStyle w:val="Heading1"/>
        <w:pBdr>
          <w:bottom w:val="single" w:color="2E8B8B" w:sz="8" w:space="6"/>
        </w:pBdr>
        <w:spacing w:after="160" w:before="360"/>
      </w:pPr>
      <w:r>
        <w:rPr>
          <w:rFonts w:ascii="Arial" w:cs="Arial" w:eastAsia="Arial" w:hAnsi="Arial"/>
          <w:b/>
          <w:bCs/>
          <w:color w:val="2E8B8B"/>
          <w:sz w:val="28"/>
          <w:szCs w:val="28"/>
        </w:rPr>
        <w:t xml:space="preserve">SECTION 4: GRADING &amp; ACADEMIC PROGRESS</w:t>
      </w:r>
    </w:p>
    <w:p>
      <w:pPr>
        <w:spacing w:after="80" w:before="60"/>
      </w:pPr>
      <w:r>
        <w:rPr>
          <w:rFonts w:ascii="Arial" w:cs="Arial" w:eastAsia="Arial" w:hAnsi="Arial"/>
          <w:color w:val="1A1A2E"/>
          <w:sz w:val="22"/>
          <w:szCs w:val="22"/>
        </w:rPr>
        <w:t xml:space="preserve">Wildflower Academy uses a mastery-based progress system in place of traditional letter grades. This approach is specifically designed for learners with autism spectrum disorder and other developmental differences, and aligns directly with ABA methodology and individualized goal tracking.</w:t>
      </w:r>
    </w:p>
    <w:p>
      <w:pPr>
        <w:spacing w:after="0" w:before="100"/>
      </w:pPr>
    </w:p>
    <w:p>
      <w:pPr>
        <w:pStyle w:val="Heading2"/>
        <w:spacing w:after="120" w:before="280"/>
      </w:pPr>
      <w:r>
        <w:rPr>
          <w:rFonts w:ascii="Arial" w:cs="Arial" w:eastAsia="Arial" w:hAnsi="Arial"/>
          <w:b/>
          <w:bCs/>
          <w:color w:val="1A1A2E"/>
          <w:sz w:val="24"/>
          <w:szCs w:val="24"/>
        </w:rPr>
        <w:t xml:space="preserve">4.1 Mastery-Based Progress Scale</w:t>
      </w:r>
    </w:p>
    <w:p>
      <w:pPr>
        <w:spacing w:after="80" w:before="60"/>
      </w:pPr>
      <w:r>
        <w:rPr>
          <w:rFonts w:ascii="Arial" w:cs="Arial" w:eastAsia="Arial" w:hAnsi="Arial"/>
          <w:color w:val="1A1A2E"/>
          <w:sz w:val="22"/>
          <w:szCs w:val="22"/>
        </w:rPr>
        <w:t xml:space="preserve">Student progress is reported using the following five-point scale:</w:t>
      </w:r>
    </w:p>
    <w:p>
      <w:pPr>
        <w:spacing w:after="0" w:before="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000"/>
        <w:gridCol w:w="6460"/>
      </w:tblGrid>
      <w:tr>
        <w:tc>
          <w:tcPr>
            <w:tcW w:type="dxa" w:w="900"/>
            <w:tcBorders>
              <w:top w:val="single" w:color="CCCCCC" w:sz="1"/>
              <w:left w:val="single" w:color="CCCCCC" w:sz="1"/>
              <w:bottom w:val="single" w:color="CCCCCC" w:sz="1"/>
              <w:right w:val="single" w:color="CCCCCC" w:sz="1"/>
            </w:tcBorders>
            <w:shd w:fill="2E8B8B" w:val="clear"/>
            <w:tcMar>
              <w:top w:type="dxa" w:w="100"/>
              <w:left w:type="dxa" w:w="140"/>
              <w:bottom w:type="dxa" w:w="100"/>
              <w:right w:type="dxa" w:w="140"/>
            </w:tcMar>
          </w:tcPr>
          <w:p>
            <w:r>
              <w:rPr>
                <w:rFonts w:ascii="Arial" w:cs="Arial" w:eastAsia="Arial" w:hAnsi="Arial"/>
                <w:b/>
                <w:bCs/>
                <w:color w:val="FFFFFF"/>
                <w:sz w:val="21"/>
                <w:szCs w:val="21"/>
              </w:rPr>
              <w:t xml:space="preserve">Mark</w:t>
            </w:r>
          </w:p>
        </w:tc>
        <w:tc>
          <w:tcPr>
            <w:tcW w:type="dxa" w:w="2000"/>
            <w:tcBorders>
              <w:top w:val="single" w:color="CCCCCC" w:sz="1"/>
              <w:left w:val="single" w:color="CCCCCC" w:sz="1"/>
              <w:bottom w:val="single" w:color="CCCCCC" w:sz="1"/>
              <w:right w:val="single" w:color="CCCCCC" w:sz="1"/>
            </w:tcBorders>
            <w:shd w:fill="2E8B8B" w:val="clear"/>
            <w:tcMar>
              <w:top w:type="dxa" w:w="100"/>
              <w:left w:type="dxa" w:w="140"/>
              <w:bottom w:type="dxa" w:w="100"/>
              <w:right w:type="dxa" w:w="140"/>
            </w:tcMar>
          </w:tcPr>
          <w:p>
            <w:r>
              <w:rPr>
                <w:rFonts w:ascii="Arial" w:cs="Arial" w:eastAsia="Arial" w:hAnsi="Arial"/>
                <w:b/>
                <w:bCs/>
                <w:color w:val="FFFFFF"/>
                <w:sz w:val="21"/>
                <w:szCs w:val="21"/>
              </w:rPr>
              <w:t xml:space="preserve">Meaning</w:t>
            </w:r>
          </w:p>
        </w:tc>
        <w:tc>
          <w:tcPr>
            <w:tcW w:type="dxa" w:w="6460"/>
            <w:tcBorders>
              <w:top w:val="single" w:color="CCCCCC" w:sz="1"/>
              <w:left w:val="single" w:color="CCCCCC" w:sz="1"/>
              <w:bottom w:val="single" w:color="CCCCCC" w:sz="1"/>
              <w:right w:val="single" w:color="CCCCCC" w:sz="1"/>
            </w:tcBorders>
            <w:shd w:fill="2E8B8B" w:val="clear"/>
            <w:tcMar>
              <w:top w:type="dxa" w:w="100"/>
              <w:left w:type="dxa" w:w="140"/>
              <w:bottom w:type="dxa" w:w="100"/>
              <w:right w:type="dxa" w:w="140"/>
            </w:tcMar>
          </w:tcPr>
          <w:p>
            <w:r>
              <w:rPr>
                <w:rFonts w:ascii="Arial" w:cs="Arial" w:eastAsia="Arial" w:hAnsi="Arial"/>
                <w:b/>
                <w:bCs/>
                <w:color w:val="FFFFFF"/>
                <w:sz w:val="21"/>
                <w:szCs w:val="21"/>
              </w:rPr>
              <w:t xml:space="preserve">Description</w:t>
            </w:r>
          </w:p>
        </w:tc>
      </w:tr>
      <w:tr>
        <w:tc>
          <w:tcPr>
            <w:tcW w:type="dxa" w:w="900"/>
            <w:tcBorders>
              <w:top w:val="single" w:color="CCCCCC" w:sz="1"/>
              <w:left w:val="single" w:color="CCCCCC" w:sz="1"/>
              <w:bottom w:val="single" w:color="CCCCCC" w:sz="1"/>
              <w:right w:val="single" w:color="CCCCCC" w:sz="1"/>
            </w:tcBorders>
            <w:shd w:fill="F7F9F9" w:val="clear"/>
            <w:tcMar>
              <w:top w:type="dxa" w:w="80"/>
              <w:left w:type="dxa" w:w="140"/>
              <w:bottom w:type="dxa" w:w="80"/>
              <w:right w:type="dxa" w:w="140"/>
            </w:tcMar>
          </w:tcPr>
          <w:p>
            <w:r>
              <w:rPr>
                <w:rFonts w:ascii="Arial" w:cs="Arial" w:eastAsia="Arial" w:hAnsi="Arial"/>
                <w:b/>
                <w:bCs/>
                <w:color w:val="2E8B8B"/>
                <w:sz w:val="21"/>
                <w:szCs w:val="21"/>
              </w:rPr>
              <w:t xml:space="preserve">M</w:t>
            </w:r>
          </w:p>
        </w:tc>
        <w:tc>
          <w:tcPr>
            <w:tcW w:type="dxa" w:w="2000"/>
            <w:tcBorders>
              <w:top w:val="single" w:color="CCCCCC" w:sz="1"/>
              <w:left w:val="single" w:color="CCCCCC" w:sz="1"/>
              <w:bottom w:val="single" w:color="CCCCCC" w:sz="1"/>
              <w:right w:val="single" w:color="CCCCCC" w:sz="1"/>
            </w:tcBorders>
            <w:shd w:fill="F7F9F9" w:val="clear"/>
            <w:tcMar>
              <w:top w:type="dxa" w:w="80"/>
              <w:left w:type="dxa" w:w="140"/>
              <w:bottom w:type="dxa" w:w="80"/>
              <w:right w:type="dxa" w:w="140"/>
            </w:tcMar>
          </w:tcPr>
          <w:p>
            <w:r>
              <w:rPr>
                <w:rFonts w:ascii="Arial" w:cs="Arial" w:eastAsia="Arial" w:hAnsi="Arial"/>
                <w:b/>
                <w:bCs/>
                <w:color w:val="1A1A2E"/>
                <w:sz w:val="21"/>
                <w:szCs w:val="21"/>
              </w:rPr>
              <w:t xml:space="preserve">Mastered</w:t>
            </w:r>
          </w:p>
        </w:tc>
        <w:tc>
          <w:tcPr>
            <w:tcW w:type="dxa" w:w="6460"/>
            <w:tcBorders>
              <w:top w:val="single" w:color="CCCCCC" w:sz="1"/>
              <w:left w:val="single" w:color="CCCCCC" w:sz="1"/>
              <w:bottom w:val="single" w:color="CCCCCC" w:sz="1"/>
              <w:right w:val="single" w:color="CCCCCC" w:sz="1"/>
            </w:tcBorders>
            <w:shd w:fill="F7F9F9" w:val="clear"/>
            <w:tcMar>
              <w:top w:type="dxa" w:w="80"/>
              <w:left w:type="dxa" w:w="140"/>
              <w:bottom w:type="dxa" w:w="80"/>
              <w:right w:type="dxa" w:w="140"/>
            </w:tcMar>
          </w:tcPr>
          <w:p>
            <w:r>
              <w:rPr>
                <w:rFonts w:ascii="Arial" w:cs="Arial" w:eastAsia="Arial" w:hAnsi="Arial"/>
                <w:b w:val="false"/>
                <w:bCs w:val="false"/>
                <w:color w:val="1A1A2E"/>
                <w:sz w:val="21"/>
                <w:szCs w:val="21"/>
              </w:rPr>
              <w:t xml:space="preserve">Student consistently demonstrates the skill or concept independently across settings and conditions.</w:t>
            </w:r>
          </w:p>
        </w:tc>
      </w:tr>
      <w:tr>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bCs/>
                <w:color w:val="2E8B8B"/>
                <w:sz w:val="21"/>
                <w:szCs w:val="21"/>
              </w:rPr>
              <w:t xml:space="preserve">P</w:t>
            </w:r>
          </w:p>
        </w:tc>
        <w:tc>
          <w:tcPr>
            <w:tcW w:type="dxa" w:w="2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bCs/>
                <w:color w:val="1A1A2E"/>
                <w:sz w:val="21"/>
                <w:szCs w:val="21"/>
              </w:rPr>
              <w:t xml:space="preserve">Progressing</w:t>
            </w:r>
          </w:p>
        </w:tc>
        <w:tc>
          <w:tcPr>
            <w:tcW w:type="dxa" w:w="64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2E"/>
                <w:sz w:val="21"/>
                <w:szCs w:val="21"/>
              </w:rPr>
              <w:t xml:space="preserve">Student is actively developing the skill and showing measurable growth toward mastery.</w:t>
            </w:r>
          </w:p>
        </w:tc>
      </w:tr>
      <w:tr>
        <w:tc>
          <w:tcPr>
            <w:tcW w:type="dxa" w:w="900"/>
            <w:tcBorders>
              <w:top w:val="single" w:color="CCCCCC" w:sz="1"/>
              <w:left w:val="single" w:color="CCCCCC" w:sz="1"/>
              <w:bottom w:val="single" w:color="CCCCCC" w:sz="1"/>
              <w:right w:val="single" w:color="CCCCCC" w:sz="1"/>
            </w:tcBorders>
            <w:shd w:fill="F7F9F9" w:val="clear"/>
            <w:tcMar>
              <w:top w:type="dxa" w:w="80"/>
              <w:left w:type="dxa" w:w="140"/>
              <w:bottom w:type="dxa" w:w="80"/>
              <w:right w:type="dxa" w:w="140"/>
            </w:tcMar>
          </w:tcPr>
          <w:p>
            <w:r>
              <w:rPr>
                <w:rFonts w:ascii="Arial" w:cs="Arial" w:eastAsia="Arial" w:hAnsi="Arial"/>
                <w:b/>
                <w:bCs/>
                <w:color w:val="2E8B8B"/>
                <w:sz w:val="21"/>
                <w:szCs w:val="21"/>
              </w:rPr>
              <w:t xml:space="preserve">E</w:t>
            </w:r>
          </w:p>
        </w:tc>
        <w:tc>
          <w:tcPr>
            <w:tcW w:type="dxa" w:w="2000"/>
            <w:tcBorders>
              <w:top w:val="single" w:color="CCCCCC" w:sz="1"/>
              <w:left w:val="single" w:color="CCCCCC" w:sz="1"/>
              <w:bottom w:val="single" w:color="CCCCCC" w:sz="1"/>
              <w:right w:val="single" w:color="CCCCCC" w:sz="1"/>
            </w:tcBorders>
            <w:shd w:fill="F7F9F9" w:val="clear"/>
            <w:tcMar>
              <w:top w:type="dxa" w:w="80"/>
              <w:left w:type="dxa" w:w="140"/>
              <w:bottom w:type="dxa" w:w="80"/>
              <w:right w:type="dxa" w:w="140"/>
            </w:tcMar>
          </w:tcPr>
          <w:p>
            <w:r>
              <w:rPr>
                <w:rFonts w:ascii="Arial" w:cs="Arial" w:eastAsia="Arial" w:hAnsi="Arial"/>
                <w:b/>
                <w:bCs/>
                <w:color w:val="1A1A2E"/>
                <w:sz w:val="21"/>
                <w:szCs w:val="21"/>
              </w:rPr>
              <w:t xml:space="preserve">Emerging</w:t>
            </w:r>
          </w:p>
        </w:tc>
        <w:tc>
          <w:tcPr>
            <w:tcW w:type="dxa" w:w="6460"/>
            <w:tcBorders>
              <w:top w:val="single" w:color="CCCCCC" w:sz="1"/>
              <w:left w:val="single" w:color="CCCCCC" w:sz="1"/>
              <w:bottom w:val="single" w:color="CCCCCC" w:sz="1"/>
              <w:right w:val="single" w:color="CCCCCC" w:sz="1"/>
            </w:tcBorders>
            <w:shd w:fill="F7F9F9" w:val="clear"/>
            <w:tcMar>
              <w:top w:type="dxa" w:w="80"/>
              <w:left w:type="dxa" w:w="140"/>
              <w:bottom w:type="dxa" w:w="80"/>
              <w:right w:type="dxa" w:w="140"/>
            </w:tcMar>
          </w:tcPr>
          <w:p>
            <w:r>
              <w:rPr>
                <w:rFonts w:ascii="Arial" w:cs="Arial" w:eastAsia="Arial" w:hAnsi="Arial"/>
                <w:b w:val="false"/>
                <w:bCs w:val="false"/>
                <w:color w:val="1A1A2E"/>
                <w:sz w:val="21"/>
                <w:szCs w:val="21"/>
              </w:rPr>
              <w:t xml:space="preserve">Student is beginning to show awareness or partial performance of the skill with support.</w:t>
            </w:r>
          </w:p>
        </w:tc>
      </w:tr>
      <w:tr>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bCs/>
                <w:color w:val="2E8B8B"/>
                <w:sz w:val="21"/>
                <w:szCs w:val="21"/>
              </w:rPr>
              <w:t xml:space="preserve">NI</w:t>
            </w:r>
          </w:p>
        </w:tc>
        <w:tc>
          <w:tcPr>
            <w:tcW w:type="dxa" w:w="2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bCs/>
                <w:color w:val="1A1A2E"/>
                <w:sz w:val="21"/>
                <w:szCs w:val="21"/>
              </w:rPr>
              <w:t xml:space="preserve">Needs Instruction</w:t>
            </w:r>
          </w:p>
        </w:tc>
        <w:tc>
          <w:tcPr>
            <w:tcW w:type="dxa" w:w="64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2E"/>
                <w:sz w:val="21"/>
                <w:szCs w:val="21"/>
              </w:rPr>
              <w:t xml:space="preserve">Skill has been introduced but student requires additional direct instruction and practice.</w:t>
            </w:r>
          </w:p>
        </w:tc>
      </w:tr>
      <w:tr>
        <w:tc>
          <w:tcPr>
            <w:tcW w:type="dxa" w:w="900"/>
            <w:tcBorders>
              <w:top w:val="single" w:color="CCCCCC" w:sz="1"/>
              <w:left w:val="single" w:color="CCCCCC" w:sz="1"/>
              <w:bottom w:val="single" w:color="CCCCCC" w:sz="1"/>
              <w:right w:val="single" w:color="CCCCCC" w:sz="1"/>
            </w:tcBorders>
            <w:shd w:fill="F7F9F9" w:val="clear"/>
            <w:tcMar>
              <w:top w:type="dxa" w:w="80"/>
              <w:left w:type="dxa" w:w="140"/>
              <w:bottom w:type="dxa" w:w="80"/>
              <w:right w:type="dxa" w:w="140"/>
            </w:tcMar>
          </w:tcPr>
          <w:p>
            <w:r>
              <w:rPr>
                <w:rFonts w:ascii="Arial" w:cs="Arial" w:eastAsia="Arial" w:hAnsi="Arial"/>
                <w:b/>
                <w:bCs/>
                <w:color w:val="2E8B8B"/>
                <w:sz w:val="21"/>
                <w:szCs w:val="21"/>
              </w:rPr>
              <w:t xml:space="preserve">NA</w:t>
            </w:r>
          </w:p>
        </w:tc>
        <w:tc>
          <w:tcPr>
            <w:tcW w:type="dxa" w:w="2000"/>
            <w:tcBorders>
              <w:top w:val="single" w:color="CCCCCC" w:sz="1"/>
              <w:left w:val="single" w:color="CCCCCC" w:sz="1"/>
              <w:bottom w:val="single" w:color="CCCCCC" w:sz="1"/>
              <w:right w:val="single" w:color="CCCCCC" w:sz="1"/>
            </w:tcBorders>
            <w:shd w:fill="F7F9F9" w:val="clear"/>
            <w:tcMar>
              <w:top w:type="dxa" w:w="80"/>
              <w:left w:type="dxa" w:w="140"/>
              <w:bottom w:type="dxa" w:w="80"/>
              <w:right w:type="dxa" w:w="140"/>
            </w:tcMar>
          </w:tcPr>
          <w:p>
            <w:r>
              <w:rPr>
                <w:rFonts w:ascii="Arial" w:cs="Arial" w:eastAsia="Arial" w:hAnsi="Arial"/>
                <w:b/>
                <w:bCs/>
                <w:color w:val="1A1A2E"/>
                <w:sz w:val="21"/>
                <w:szCs w:val="21"/>
              </w:rPr>
              <w:t xml:space="preserve">Not Yet Introduced</w:t>
            </w:r>
          </w:p>
        </w:tc>
        <w:tc>
          <w:tcPr>
            <w:tcW w:type="dxa" w:w="6460"/>
            <w:tcBorders>
              <w:top w:val="single" w:color="CCCCCC" w:sz="1"/>
              <w:left w:val="single" w:color="CCCCCC" w:sz="1"/>
              <w:bottom w:val="single" w:color="CCCCCC" w:sz="1"/>
              <w:right w:val="single" w:color="CCCCCC" w:sz="1"/>
            </w:tcBorders>
            <w:shd w:fill="F7F9F9" w:val="clear"/>
            <w:tcMar>
              <w:top w:type="dxa" w:w="80"/>
              <w:left w:type="dxa" w:w="140"/>
              <w:bottom w:type="dxa" w:w="80"/>
              <w:right w:type="dxa" w:w="140"/>
            </w:tcMar>
          </w:tcPr>
          <w:p>
            <w:r>
              <w:rPr>
                <w:rFonts w:ascii="Arial" w:cs="Arial" w:eastAsia="Arial" w:hAnsi="Arial"/>
                <w:b w:val="false"/>
                <w:bCs w:val="false"/>
                <w:color w:val="1A1A2E"/>
                <w:sz w:val="21"/>
                <w:szCs w:val="21"/>
              </w:rPr>
              <w:t xml:space="preserve">Skill is identified in the student’s plan but has not yet been formally introduced.</w:t>
            </w:r>
          </w:p>
        </w:tc>
      </w:tr>
    </w:tbl>
    <w:p>
      <w:pPr>
        <w:spacing w:after="0" w:before="120"/>
      </w:pPr>
    </w:p>
    <w:p>
      <w:pPr>
        <w:spacing w:after="80" w:before="60"/>
      </w:pPr>
      <w:r>
        <w:rPr>
          <w:rFonts w:ascii="Arial" w:cs="Arial" w:eastAsia="Arial" w:hAnsi="Arial"/>
          <w:color w:val="1A1A2E"/>
          <w:sz w:val="22"/>
          <w:szCs w:val="22"/>
        </w:rPr>
        <w:t xml:space="preserve">This scale reflects each student’s individual goals rather than comparison to grade-level norms. Progress is measured against the student’s own personalized learning targets, which are developed collaboratively with families, educators, and the ABA team.</w:t>
      </w:r>
    </w:p>
    <w:p>
      <w:pPr>
        <w:spacing w:after="0" w:before="100"/>
      </w:pPr>
    </w:p>
    <w:p>
      <w:pPr>
        <w:pStyle w:val="Heading2"/>
        <w:spacing w:after="120" w:before="280"/>
      </w:pPr>
      <w:r>
        <w:rPr>
          <w:rFonts w:ascii="Arial" w:cs="Arial" w:eastAsia="Arial" w:hAnsi="Arial"/>
          <w:b/>
          <w:bCs/>
          <w:color w:val="1A1A2E"/>
          <w:sz w:val="24"/>
          <w:szCs w:val="24"/>
        </w:rPr>
        <w:t xml:space="preserve">4.2 Traditional Letter Grades</w:t>
      </w:r>
    </w:p>
    <w:p>
      <w:pPr>
        <w:spacing w:after="80" w:before="60"/>
      </w:pPr>
      <w:r>
        <w:rPr>
          <w:rFonts w:ascii="Arial" w:cs="Arial" w:eastAsia="Arial" w:hAnsi="Arial"/>
          <w:color w:val="1A1A2E"/>
          <w:sz w:val="22"/>
          <w:szCs w:val="22"/>
        </w:rPr>
        <w:t xml:space="preserve">For students working at or above grade level without IEP modifications, traditional letter grades (A–F on a standard 90/80/70/60 scale) are available upon parent request. Families who prefer this format should notify the administration at the beginning of each school year or following any change in the student’s programming.</w:t>
      </w:r>
    </w:p>
    <w:p>
      <w:pPr>
        <w:spacing w:after="0" w:before="100"/>
      </w:pPr>
    </w:p>
    <w:p>
      <w:pPr>
        <w:pStyle w:val="Heading2"/>
        <w:spacing w:after="120" w:before="280"/>
      </w:pPr>
      <w:r>
        <w:rPr>
          <w:rFonts w:ascii="Arial" w:cs="Arial" w:eastAsia="Arial" w:hAnsi="Arial"/>
          <w:b/>
          <w:bCs/>
          <w:color w:val="1A1A2E"/>
          <w:sz w:val="24"/>
          <w:szCs w:val="24"/>
        </w:rPr>
        <w:t xml:space="preserve">4.3 Report Cards &amp; Progress Reports</w:t>
      </w:r>
    </w:p>
    <w:p>
      <w:pPr>
        <w:spacing w:after="80" w:before="60"/>
      </w:pPr>
      <w:r>
        <w:rPr>
          <w:rFonts w:ascii="Arial" w:cs="Arial" w:eastAsia="Arial" w:hAnsi="Arial"/>
          <w:color w:val="1A1A2E"/>
          <w:sz w:val="22"/>
          <w:szCs w:val="22"/>
        </w:rPr>
        <w:t xml:space="preserve">Progress reports are issued quarterly (four times per school year). Each report includes:</w:t>
      </w:r>
    </w:p>
    <w:p>
      <w:pPr>
        <w:pStyle w:val="ListParagraph"/>
        <w:numPr>
          <w:ilvl w:val="0"/>
          <w:numId w:val="2"/>
        </w:numPr>
        <w:spacing w:after="40" w:before="40"/>
      </w:pPr>
      <w:r>
        <w:rPr>
          <w:rFonts w:ascii="Arial" w:cs="Arial" w:eastAsia="Arial" w:hAnsi="Arial"/>
          <w:b w:val="false"/>
          <w:bCs w:val="false"/>
          <w:color w:val="1A1A2E"/>
          <w:sz w:val="22"/>
          <w:szCs w:val="22"/>
        </w:rPr>
        <w:t xml:space="preserve">Mastery-based progress marks for all active academic and therapeutic goals</w:t>
      </w:r>
    </w:p>
    <w:p>
      <w:pPr>
        <w:pStyle w:val="ListParagraph"/>
        <w:numPr>
          <w:ilvl w:val="0"/>
          <w:numId w:val="2"/>
        </w:numPr>
        <w:spacing w:after="40" w:before="40"/>
      </w:pPr>
      <w:r>
        <w:rPr>
          <w:rFonts w:ascii="Arial" w:cs="Arial" w:eastAsia="Arial" w:hAnsi="Arial"/>
          <w:b w:val="false"/>
          <w:bCs w:val="false"/>
          <w:color w:val="1A1A2E"/>
          <w:sz w:val="22"/>
          <w:szCs w:val="22"/>
        </w:rPr>
        <w:t xml:space="preserve">Narrative comments from the student’s teacher and/or BCBA</w:t>
      </w:r>
    </w:p>
    <w:p>
      <w:pPr>
        <w:pStyle w:val="ListParagraph"/>
        <w:numPr>
          <w:ilvl w:val="0"/>
          <w:numId w:val="2"/>
        </w:numPr>
        <w:spacing w:after="40" w:before="40"/>
      </w:pPr>
      <w:r>
        <w:rPr>
          <w:rFonts w:ascii="Arial" w:cs="Arial" w:eastAsia="Arial" w:hAnsi="Arial"/>
          <w:b w:val="false"/>
          <w:bCs w:val="false"/>
          <w:color w:val="1A1A2E"/>
          <w:sz w:val="22"/>
          <w:szCs w:val="22"/>
        </w:rPr>
        <w:t xml:space="preserve">Goal-by-goal ABA progress data summary</w:t>
      </w:r>
    </w:p>
    <w:p>
      <w:pPr>
        <w:pStyle w:val="ListParagraph"/>
        <w:numPr>
          <w:ilvl w:val="0"/>
          <w:numId w:val="2"/>
        </w:numPr>
        <w:spacing w:after="40" w:before="40"/>
      </w:pPr>
      <w:r>
        <w:rPr>
          <w:rFonts w:ascii="Arial" w:cs="Arial" w:eastAsia="Arial" w:hAnsi="Arial"/>
          <w:b w:val="false"/>
          <w:bCs w:val="false"/>
          <w:color w:val="1A1A2E"/>
          <w:sz w:val="22"/>
          <w:szCs w:val="22"/>
        </w:rPr>
        <w:t xml:space="preserve">Recommendations and focus areas for the upcoming quarter</w:t>
      </w:r>
    </w:p>
    <w:p>
      <w:pPr>
        <w:spacing w:after="0" w:before="60"/>
      </w:pPr>
    </w:p>
    <w:p>
      <w:pPr>
        <w:spacing w:after="80" w:before="60"/>
      </w:pPr>
      <w:r>
        <w:rPr>
          <w:rFonts w:ascii="Arial" w:cs="Arial" w:eastAsia="Arial" w:hAnsi="Arial"/>
          <w:color w:val="1A1A2E"/>
          <w:sz w:val="22"/>
          <w:szCs w:val="22"/>
        </w:rPr>
        <w:t xml:space="preserve">Report cards are distributed through the weekly communication folder and, where applicable, by email. Families who have questions about their child’s progress report are encouraged to request a follow-up meeting with the student’s team.</w:t>
      </w:r>
    </w:p>
    <w:p>
      <w:pPr>
        <w:spacing w:after="0" w:before="100"/>
      </w:pPr>
    </w:p>
    <w:p>
      <w:pPr>
        <w:pStyle w:val="Heading2"/>
        <w:spacing w:after="120" w:before="280"/>
      </w:pPr>
      <w:r>
        <w:rPr>
          <w:rFonts w:ascii="Arial" w:cs="Arial" w:eastAsia="Arial" w:hAnsi="Arial"/>
          <w:b/>
          <w:bCs/>
          <w:color w:val="1A1A2E"/>
          <w:sz w:val="24"/>
          <w:szCs w:val="24"/>
        </w:rPr>
        <w:t xml:space="preserve">4.4 Promotion &amp; Retention</w:t>
      </w:r>
    </w:p>
    <w:p>
      <w:pPr>
        <w:spacing w:after="80" w:before="60"/>
      </w:pPr>
      <w:r>
        <w:rPr>
          <w:rFonts w:ascii="Arial" w:cs="Arial" w:eastAsia="Arial" w:hAnsi="Arial"/>
          <w:color w:val="1A1A2E"/>
          <w:sz w:val="22"/>
          <w:szCs w:val="22"/>
        </w:rPr>
        <w:t xml:space="preserve">Decisions regarding grade-level promotion or retention are made on an individualized basis in collaboration with the student’s educational team and family. Given the individualized nature of programming at Wildflower Academy, promotion is based on the student’s overall growth, skill acquisition, developmental readiness, and therapeutic progress — not solely academic performance. Families will always be included in these conversations well in advance.</w:t>
      </w:r>
    </w:p>
    <w:p>
      <w:pPr>
        <w:spacing w:after="0" w:before="200"/>
      </w:pPr>
    </w:p>
    <w:p>
      <w:pPr>
        <w:pBdr>
          <w:top w:val="single" w:color="B2DFDF" w:sz="4" w:space="8"/>
        </w:pBdr>
        <w:spacing w:after="0" w:before="160"/>
        <w:jc w:val="center"/>
      </w:pPr>
      <w:r>
        <w:rPr>
          <w:rFonts w:ascii="Arial" w:cs="Arial" w:eastAsia="Arial" w:hAnsi="Arial"/>
          <w:i/>
          <w:iCs/>
          <w:color w:val="888888"/>
          <w:sz w:val="18"/>
          <w:szCs w:val="18"/>
        </w:rPr>
        <w:t xml:space="preserve">Wildflower Academy is a program of Synergy Health Group  •  Sebring, Florida  •  synergyofminds.com</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abstractNum w:abstractNumId="3" w15:restartNumberingAfterBreak="0">
    <w:multiLevelType w:val="hybridMultilevel"/>
    <w:lvl w:ilvl="0" w15:tentative="1">
      <w:start w:val="1"/>
      <w:numFmt w:val="bullet"/>
      <w:lvlText w:val="○"/>
      <w:lvlJc w:val="left"/>
      <w:pPr>
        <w:ind w:left="100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2E8B8B"/>
      <w:sz w:val="28"/>
      <w:szCs w:val="28"/>
    </w:rPr>
  </w:style>
  <w:style w:type="paragraph" w:styleId="Heading2">
    <w:name w:val="Heading 2"/>
    <w:basedOn w:val="Normal"/>
    <w:next w:val="Normal"/>
    <w:qFormat/>
    <w:pPr>
      <w:spacing w:after="120" w:before="280"/>
      <w:outlineLvl w:val="1"/>
    </w:pPr>
    <w:rPr>
      <w:rFonts w:ascii="Arial" w:cs="Arial" w:eastAsia="Arial" w:hAnsi="Arial"/>
      <w:b/>
      <w:bCs/>
      <w:color w:val="1A1A2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2026-06-06T02:16:57.849Z</dcterms:created>
  <dcterms:modified xsi:type="dcterms:W3CDTF">2026-06-06T02:16:57.871Z</dcterms:modified>
</cp:coreProperties>
</file>

<file path=docProps/custom.xml><?xml version="1.0" encoding="utf-8"?>
<Properties xmlns="http://schemas.openxmlformats.org/officeDocument/2006/custom-properties" xmlns:vt="http://schemas.openxmlformats.org/officeDocument/2006/docPropsVTypes"/>
</file>